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1359"/>
        <w:gridCol w:w="1078"/>
        <w:gridCol w:w="6"/>
        <w:gridCol w:w="853"/>
        <w:gridCol w:w="6"/>
        <w:gridCol w:w="806"/>
        <w:gridCol w:w="39"/>
        <w:gridCol w:w="840"/>
      </w:tblGrid>
      <w:tr w:rsidR="00C028CF" w:rsidRPr="003F2662" w:rsidTr="00FA2646">
        <w:trPr>
          <w:trHeight w:hRule="exact" w:val="572"/>
          <w:jc w:val="center"/>
        </w:trPr>
        <w:tc>
          <w:tcPr>
            <w:tcW w:w="787" w:type="dxa"/>
            <w:vMerge w:val="restart"/>
            <w:shd w:val="clear" w:color="auto" w:fill="FFFFFF"/>
          </w:tcPr>
          <w:p w:rsidR="00C028CF" w:rsidRPr="003F2662" w:rsidRDefault="00C028CF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vMerge w:val="restart"/>
            <w:shd w:val="clear" w:color="auto" w:fill="FFFFFF"/>
            <w:vAlign w:val="center"/>
          </w:tcPr>
          <w:p w:rsidR="007D6B18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312" w:lineRule="exact"/>
              <w:jc w:val="center"/>
              <w:rPr>
                <w:rStyle w:val="Arial7pt"/>
                <w:rFonts w:ascii="Times New Roman" w:hAnsi="Times New Roman" w:cs="Times New Roman"/>
                <w:sz w:val="24"/>
                <w:szCs w:val="24"/>
              </w:rPr>
            </w:pP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Узагальнені результати самооцінювання ефективності освітніх та управлінських процесів</w:t>
            </w:r>
          </w:p>
          <w:p w:rsidR="007D6B18" w:rsidRPr="007D6B18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312" w:lineRule="exact"/>
              <w:jc w:val="center"/>
              <w:rPr>
                <w:rStyle w:val="Arial7pt"/>
                <w:rFonts w:ascii="Times New Roman" w:hAnsi="Times New Roman" w:cs="Times New Roman"/>
                <w:sz w:val="24"/>
                <w:szCs w:val="24"/>
              </w:rPr>
            </w:pP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D93EEB"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ліцеї «Га</w:t>
            </w:r>
            <w:r w:rsidR="007D6B18"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лицький»</w:t>
            </w: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B18"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Львівської міської ради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312" w:lineRule="exact"/>
              <w:jc w:val="center"/>
              <w:rPr>
                <w:sz w:val="16"/>
                <w:szCs w:val="16"/>
              </w:rPr>
            </w:pP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 xml:space="preserve">за підсумками </w:t>
            </w:r>
            <w:r w:rsidR="007F1B62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 xml:space="preserve">І семестру </w:t>
            </w: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202</w:t>
            </w:r>
            <w:r w:rsidR="007F1B62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-202</w:t>
            </w:r>
            <w:r w:rsidR="007F1B62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7D6B18">
              <w:rPr>
                <w:rStyle w:val="Arial7pt"/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3628" w:type="dxa"/>
            <w:gridSpan w:val="7"/>
            <w:shd w:val="clear" w:color="auto" w:fill="FFFFFF"/>
          </w:tcPr>
          <w:p w:rsidR="00FA2646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21" w:lineRule="exact"/>
              <w:jc w:val="center"/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Рівні оцінювання освітніх і управлінських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 xml:space="preserve"> процесів</w:t>
            </w:r>
          </w:p>
        </w:tc>
      </w:tr>
      <w:tr w:rsidR="00C028CF" w:rsidRPr="003F2662" w:rsidTr="00FA2646">
        <w:trPr>
          <w:trHeight w:hRule="exact" w:val="931"/>
          <w:jc w:val="center"/>
        </w:trPr>
        <w:tc>
          <w:tcPr>
            <w:tcW w:w="787" w:type="dxa"/>
            <w:vMerge/>
            <w:shd w:val="clear" w:color="auto" w:fill="FFFFFF"/>
          </w:tcPr>
          <w:p w:rsidR="00C028CF" w:rsidRPr="003F2662" w:rsidRDefault="00C028CF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vMerge/>
            <w:shd w:val="clear" w:color="auto" w:fill="FFFFFF"/>
            <w:vAlign w:val="center"/>
          </w:tcPr>
          <w:p w:rsidR="00C028CF" w:rsidRPr="003F2662" w:rsidRDefault="00C028CF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FF0000"/>
            <w:textDirection w:val="btLr"/>
          </w:tcPr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Низький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(четвертий)</w:t>
            </w:r>
          </w:p>
        </w:tc>
        <w:tc>
          <w:tcPr>
            <w:tcW w:w="859" w:type="dxa"/>
            <w:gridSpan w:val="2"/>
            <w:shd w:val="clear" w:color="auto" w:fill="FFFF00"/>
            <w:textDirection w:val="btLr"/>
          </w:tcPr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Вимагає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покращення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(третій)</w:t>
            </w:r>
          </w:p>
        </w:tc>
        <w:tc>
          <w:tcPr>
            <w:tcW w:w="851" w:type="dxa"/>
            <w:gridSpan w:val="3"/>
            <w:shd w:val="clear" w:color="auto" w:fill="00B050"/>
            <w:textDirection w:val="btLr"/>
          </w:tcPr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Достатній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(другий)</w:t>
            </w:r>
          </w:p>
        </w:tc>
        <w:tc>
          <w:tcPr>
            <w:tcW w:w="840" w:type="dxa"/>
            <w:shd w:val="clear" w:color="auto" w:fill="7030A0"/>
            <w:textDirection w:val="btLr"/>
          </w:tcPr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Високий</w:t>
            </w:r>
          </w:p>
          <w:p w:rsidR="00C028CF" w:rsidRPr="003F2662" w:rsidRDefault="0055630F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76" w:lineRule="auto"/>
              <w:ind w:right="-148"/>
              <w:jc w:val="center"/>
              <w:rPr>
                <w:sz w:val="16"/>
                <w:szCs w:val="16"/>
              </w:rPr>
            </w:pPr>
            <w:r w:rsidRPr="003F2662">
              <w:rPr>
                <w:rStyle w:val="Arial55pt"/>
                <w:rFonts w:ascii="Times New Roman" w:hAnsi="Times New Roman" w:cs="Times New Roman"/>
                <w:sz w:val="16"/>
                <w:szCs w:val="16"/>
              </w:rPr>
              <w:t>(перший)</w:t>
            </w:r>
          </w:p>
        </w:tc>
      </w:tr>
      <w:tr w:rsidR="00D93EEB" w:rsidRPr="003F2662" w:rsidTr="00FA2646">
        <w:trPr>
          <w:trHeight w:hRule="exact" w:val="396"/>
          <w:jc w:val="center"/>
        </w:trPr>
        <w:tc>
          <w:tcPr>
            <w:tcW w:w="787" w:type="dxa"/>
            <w:vMerge w:val="restart"/>
            <w:shd w:val="clear" w:color="auto" w:fill="FFFFFF"/>
            <w:textDirection w:val="btLr"/>
          </w:tcPr>
          <w:p w:rsidR="007F1B62" w:rsidRDefault="007F1B62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10" w:lineRule="exact"/>
              <w:ind w:left="-15"/>
              <w:jc w:val="center"/>
              <w:rPr>
                <w:rStyle w:val="Calibri105pt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7C4A1E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210" w:lineRule="exact"/>
              <w:ind w:left="-15"/>
              <w:jc w:val="center"/>
              <w:rPr>
                <w:sz w:val="16"/>
                <w:szCs w:val="16"/>
              </w:rPr>
            </w:pPr>
            <w:r w:rsidRPr="007C4A1E">
              <w:rPr>
                <w:rStyle w:val="Calibri105pt"/>
                <w:rFonts w:ascii="Times New Roman" w:hAnsi="Times New Roman" w:cs="Times New Roman"/>
                <w:sz w:val="16"/>
                <w:szCs w:val="16"/>
              </w:rPr>
              <w:t>ОСВІТНЄ СЕРЕДОВИЩЕ</w:t>
            </w:r>
          </w:p>
        </w:tc>
        <w:tc>
          <w:tcPr>
            <w:tcW w:w="11359" w:type="dxa"/>
            <w:shd w:val="clear" w:color="auto" w:fill="FFFFFF"/>
          </w:tcPr>
          <w:p w:rsidR="007C4A1E" w:rsidRDefault="007C4A1E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140" w:lineRule="exact"/>
              <w:jc w:val="center"/>
              <w:rPr>
                <w:rStyle w:val="Arial7pt0"/>
                <w:rFonts w:ascii="Times New Roman" w:hAnsi="Times New Roman" w:cs="Times New Roman"/>
                <w:sz w:val="24"/>
                <w:szCs w:val="24"/>
              </w:rPr>
            </w:pPr>
          </w:p>
          <w:p w:rsidR="00D93EEB" w:rsidRPr="007C4A1E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spacing w:line="140" w:lineRule="exact"/>
              <w:jc w:val="center"/>
              <w:rPr>
                <w:sz w:val="24"/>
                <w:szCs w:val="24"/>
              </w:rPr>
            </w:pPr>
            <w:r w:rsidRPr="007C4A1E">
              <w:rPr>
                <w:rStyle w:val="Arial7pt0"/>
                <w:rFonts w:ascii="Times New Roman" w:hAnsi="Times New Roman" w:cs="Times New Roman"/>
                <w:sz w:val="24"/>
                <w:szCs w:val="24"/>
              </w:rPr>
              <w:t>Напрям 1. Освітнє середовище</w:t>
            </w:r>
          </w:p>
        </w:tc>
        <w:tc>
          <w:tcPr>
            <w:tcW w:w="1084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541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Pr="007D6B18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 w:right="294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7D6B18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Коитеоій 1.1.3.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  <w:r w:rsidR="007F1B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D6B18" w:rsidRP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 w:right="294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7D6B18" w:rsidRP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 w:right="294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1"/>
              </w:rPr>
            </w:pP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7F1B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7F1B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7F1B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55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1.1.3.1.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422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 w:right="-131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1.1.3.2. Учасники освітнього процесу дотримуються вимог щодо охорони праці, безпеки життєдіяльності, пожежної безпеки, правил поведінки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516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1.1.4. Працівники обізнані з правилами поведінки в разі нещасного випадку зі здобувачами освіти чи раптового погіршення їх стану здоров’я і вживають необхідних заходів у таких ситуаціях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559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1.1.4.1. У закладі освіти проводяться навчання/інструктажі педагогічних працівників з питань надання домедичної допомоги, реагування на випадки травмування або погіршення самопочуття здобувачів освіти та працівників під час освітнього процесу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68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1.1.4.2. У разі нещасного випадку педагогічні працівники та керівництво закладу діють у встановленому законодавством порядку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500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1.1.6. 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  <w:tc>
          <w:tcPr>
            <w:tcW w:w="1084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28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1.1.6.1. У закладі освіти застосовуються технічні засоби та інші інструменти контролю за безпечним користуванням мережею Інтернет</w:t>
            </w:r>
          </w:p>
        </w:tc>
        <w:tc>
          <w:tcPr>
            <w:tcW w:w="1078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1.1.6.2. Учасники освітнього процесу поінформовані закладом освіти щодо безпечного використання мережі Інтернет</w:t>
            </w:r>
          </w:p>
        </w:tc>
        <w:tc>
          <w:tcPr>
            <w:tcW w:w="1084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661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1.1.7.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1.1.7.1. У закладі освіти налагоджено систему роботи з адаптації та інтеграції здобувачів освіти до освітнього процесу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1.1.7.2.Заклад освіти сприяє адаптації педагогічних працівників до професійної діяльності</w:t>
            </w:r>
          </w:p>
        </w:tc>
        <w:tc>
          <w:tcPr>
            <w:tcW w:w="1084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1.2.1. Заклад освіти планує та реалізує діяльність щодо запобігання будь-яким проявам дискримінації, булінгу в закладі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17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1.2.1.1. У закладі освіти розроблено план заходів із запобігання та протидії булінгу</w:t>
            </w:r>
          </w:p>
        </w:tc>
        <w:tc>
          <w:tcPr>
            <w:tcW w:w="1084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7030A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1.2.1.2. У закладі освіти реалізуються заходи із запобігання проявам дискримінації</w:t>
            </w:r>
          </w:p>
        </w:tc>
        <w:tc>
          <w:tcPr>
            <w:tcW w:w="1084" w:type="dxa"/>
            <w:gridSpan w:val="2"/>
            <w:shd w:val="clear" w:color="auto" w:fill="FFFF0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FFFF0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368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</w:tcPr>
          <w:p w:rsidR="007D6B18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center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177"/>
              </w:tabs>
              <w:spacing w:line="140" w:lineRule="exact"/>
              <w:ind w:left="177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1.2.1.3. Частка здобувачів освіти і педагогічних працівників, які вважають освітнє середовище безпечним і психологічно комфортним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472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1.2.1.4. Керівництво та педагогічні працівники закладу освіти проходять навчання, ознайомлюються з нормативно-правовими документами щодо виявлення ознак булінгу, іншого насильства та запобігання йому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FFFF0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FFFF0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3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1.2.1.5, Заклад освіти співпрацює з представниками правоохоронних органів, іншими фахівцями з питань запобігання та протидії булінгу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7030A0"/>
          </w:tcPr>
          <w:p w:rsidR="00D93EEB" w:rsidRPr="008A674F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darkMagenta"/>
              </w:rPr>
            </w:pPr>
          </w:p>
        </w:tc>
        <w:tc>
          <w:tcPr>
            <w:tcW w:w="859" w:type="dxa"/>
            <w:gridSpan w:val="2"/>
            <w:shd w:val="clear" w:color="auto" w:fill="7030A0"/>
          </w:tcPr>
          <w:p w:rsidR="00D93EEB" w:rsidRPr="008A674F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darkMagenta"/>
              </w:rPr>
            </w:pPr>
          </w:p>
        </w:tc>
        <w:tc>
          <w:tcPr>
            <w:tcW w:w="845" w:type="dxa"/>
            <w:gridSpan w:val="2"/>
            <w:shd w:val="clear" w:color="auto" w:fill="7030A0"/>
          </w:tcPr>
          <w:p w:rsidR="00D93EEB" w:rsidRPr="008A674F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darkMagenta"/>
              </w:rPr>
            </w:pPr>
          </w:p>
        </w:tc>
        <w:tc>
          <w:tcPr>
            <w:tcW w:w="840" w:type="dxa"/>
            <w:shd w:val="clear" w:color="auto" w:fill="7030A0"/>
          </w:tcPr>
          <w:p w:rsidR="00D93EEB" w:rsidRPr="008A674F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darkMagenta"/>
              </w:rPr>
            </w:pPr>
          </w:p>
        </w:tc>
      </w:tr>
      <w:tr w:rsidR="00D93EEB" w:rsidRPr="003F2662" w:rsidTr="00BF3A21">
        <w:trPr>
          <w:trHeight w:hRule="exact" w:val="470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1.2.2. Правила поведінки учасників освітнього процесу в закладі освіти забезпечують дотримання етичних норм, повагу до гідності, прав і свобод людини</w:t>
            </w:r>
          </w:p>
          <w:p w:rsidR="007D6B18" w:rsidRPr="003F2662" w:rsidRDefault="007D6B18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FA2646">
        <w:trPr>
          <w:trHeight w:hRule="exact" w:val="378"/>
          <w:jc w:val="center"/>
        </w:trPr>
        <w:tc>
          <w:tcPr>
            <w:tcW w:w="787" w:type="dxa"/>
            <w:vMerge/>
            <w:shd w:val="clear" w:color="auto" w:fill="FFFFFF"/>
            <w:textDirection w:val="btLr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9" w:type="dxa"/>
            <w:shd w:val="clear" w:color="auto" w:fill="FFFFFF"/>
            <w:vAlign w:val="bottom"/>
          </w:tcPr>
          <w:p w:rsidR="00D93EEB" w:rsidRPr="003F2662" w:rsidRDefault="00D93EEB" w:rsidP="00FA2646">
            <w:pPr>
              <w:pStyle w:val="1"/>
              <w:framePr w:w="15581" w:wrap="notBeside" w:vAnchor="text" w:hAnchor="page" w:x="903" w:y="209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1.2.2.1. У закладі освіти оприлюднені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1084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shd w:val="clear" w:color="auto" w:fill="00B050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D93EEB" w:rsidRPr="003F2662" w:rsidRDefault="00D93EEB" w:rsidP="00FA2646">
            <w:pPr>
              <w:framePr w:w="15581" w:wrap="notBeside" w:vAnchor="text" w:hAnchor="page" w:x="903" w:y="209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28CF" w:rsidRPr="003F2662" w:rsidRDefault="00C028CF" w:rsidP="007D6B18">
      <w:pPr>
        <w:tabs>
          <w:tab w:val="left" w:pos="993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1395"/>
        <w:gridCol w:w="720"/>
        <w:gridCol w:w="1065"/>
        <w:gridCol w:w="49"/>
        <w:gridCol w:w="825"/>
        <w:gridCol w:w="20"/>
        <w:gridCol w:w="10"/>
        <w:gridCol w:w="833"/>
      </w:tblGrid>
      <w:tr w:rsidR="00D93EEB" w:rsidRPr="003F2662" w:rsidTr="00BF3A21">
        <w:trPr>
          <w:trHeight w:hRule="exact" w:val="384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І.2.2.2. Частка учасників освітнього процесу, ознайомлених із правилами поведінки у закладі освіти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8D016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8D016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8D016E">
        <w:trPr>
          <w:trHeight w:hRule="exact" w:val="40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1.2.2.3. Учасники освітнього процесу дотримуються прийнятих у закладі освіти правил поведінки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1.2.3. Керівник та заступники керівника (далі - керівництво) закладу освіти, педагогічні працівники протидіють булінгу, іншому насильству, дотримуються порядку реагування на їх прояви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1.2.3.1. З метою запобігання різним проявам насильства (у закладі освіти та/або вдома) здійснюється аналіз причин відсутності здобувачів освіти на заняттях та вживаються відповідні заходи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1.2.3.2. Заклад освіти реагує на звернення про випадки булінгу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1.2.3.3. Психологічна служба (практичний психолог, соціальний педагог) закладу освіти здійснює системну роботу з виявлення , реагування та запобігання булінгу, іншому насильству (діагностування, індивідуальна робота, тренінгові заняття)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1.2.3.4. Частка здобувачів освіти (в тому числі із соціально-вразливих груп), які в разі потреби отримують у закладі освіти психолого- соціальну підтримку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8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1.2.3.5, Заклад освіти у випадку виявлення фактів булінгу та іншого насильства повідомляє органи та служби у справах дітей, правоохоронні органи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D93EEB">
        <w:trPr>
          <w:trHeight w:hRule="exact" w:val="494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97" w:lineRule="exact"/>
              <w:jc w:val="center"/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Система оцінювання здобувачів освіти</w:t>
            </w: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240" w:lineRule="exact"/>
              <w:ind w:left="177"/>
              <w:jc w:val="center"/>
              <w:rPr>
                <w:sz w:val="16"/>
                <w:szCs w:val="16"/>
              </w:rPr>
            </w:pPr>
            <w:r w:rsidRPr="003F2662">
              <w:rPr>
                <w:rStyle w:val="Arial7pt0"/>
                <w:rFonts w:ascii="Times New Roman" w:hAnsi="Times New Roman" w:cs="Times New Roman"/>
                <w:sz w:val="16"/>
                <w:szCs w:val="16"/>
              </w:rPr>
              <w:t>Напрям 2. Система оцінювання здобувачів освіти.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2.2.1. У закладі освіти здійснюється аналіз результатів навчання здобувачів освіти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50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2.2.1.1. У закладі освіти систематично проводяться моніторинги результатів навчання здобувачів освіти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2.2.1.2. За результатами моніторингів здійснюється аналіз результатів навчання здобувачів освіти, приймаються рішення щодо їх коригування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A1E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2.2.2. У закладі впроваджується система формувального оцінювання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2.2.2.1. Педагогічні працівники за допомогою оцінювання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</w:t>
            </w:r>
            <w:r w:rsidR="00551CBA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 xml:space="preserve"> (поч. школа)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7C4A1E">
        <w:trPr>
          <w:trHeight w:hRule="exact" w:val="684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after="60" w:line="140" w:lineRule="exact"/>
              <w:jc w:val="center"/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Педагогічна</w:t>
            </w:r>
          </w:p>
          <w:p w:rsidR="00D93EEB" w:rsidRPr="007C4A1E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before="60" w:line="140" w:lineRule="exact"/>
              <w:jc w:val="center"/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діяльність</w:t>
            </w: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EEB" w:rsidRPr="007C4A1E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after="60" w:line="140" w:lineRule="exact"/>
              <w:ind w:left="177"/>
              <w:rPr>
                <w:rFonts w:eastAsia="Arial"/>
                <w:b/>
                <w:bCs/>
              </w:rPr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Напрям 3. Педагогічна діяльність. Постійне підвищення професійного рівня і педагогічної майстерності педагогічних</w:t>
            </w:r>
          </w:p>
          <w:p w:rsidR="00D93EEB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before="60" w:line="140" w:lineRule="exact"/>
              <w:ind w:left="177"/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П</w:t>
            </w:r>
            <w:r w:rsidR="00D93EEB"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рацівників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before="60" w:line="140" w:lineRule="exact"/>
              <w:ind w:left="177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43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3.2.1. 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379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3.2.1.1. Частка педагогічних працівників закладу освіти, які обирають різні види, форми і напрямки підвищення рівня своєї професійної майстерності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46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3.2.2. Педагогічні працівники здійснюють інноваційну освітню діяльність, беруть участь у освітніх проектах, залучаються до роботи як освітні експерти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551CBA">
        <w:trPr>
          <w:trHeight w:hRule="exact" w:val="571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3.2.2.1. Педагогічні працівники беруть участь в інноваційній роботі (розроблення/адаптація, впровадження освітніх технологій, експериментальна робота), ініціюють та/або реалізують освітні проекти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D93EEB">
        <w:trPr>
          <w:trHeight w:hRule="exact" w:val="499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7C4A1E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</w:pPr>
            <w:r w:rsidRPr="007C4A1E">
              <w:rPr>
                <w:rStyle w:val="Arial7pt0"/>
                <w:rFonts w:ascii="Times New Roman" w:hAnsi="Times New Roman" w:cs="Times New Roman"/>
                <w:sz w:val="20"/>
                <w:szCs w:val="20"/>
              </w:rPr>
              <w:t>Управлінські процеси</w:t>
            </w: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A1E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center"/>
              <w:rPr>
                <w:rStyle w:val="Arial7pt0"/>
                <w:rFonts w:ascii="Times New Roman" w:hAnsi="Times New Roman" w:cs="Times New Roman"/>
                <w:sz w:val="16"/>
                <w:szCs w:val="16"/>
              </w:rPr>
            </w:pPr>
          </w:p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center"/>
              <w:rPr>
                <w:sz w:val="16"/>
                <w:szCs w:val="16"/>
              </w:rPr>
            </w:pPr>
            <w:r w:rsidRPr="003F2662">
              <w:rPr>
                <w:rStyle w:val="Arial7pt0"/>
                <w:rFonts w:ascii="Times New Roman" w:hAnsi="Times New Roman" w:cs="Times New Roman"/>
                <w:sz w:val="16"/>
                <w:szCs w:val="16"/>
              </w:rPr>
              <w:t>Напрям 4. Управлінські процеси. Формування та забезпечення реалізації політики академічної доброчесності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4.5.1. Заклад освіти впроваджує політику академічної доброчесності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3544AD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EEB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4.5.1.1. Керівництво закладу освіти забезпечує реалізацію заходів щодо формування академічної доброчесності та протидіє фактам її порушення</w:t>
            </w:r>
          </w:p>
          <w:p w:rsidR="007C4A1E" w:rsidRPr="003F2662" w:rsidRDefault="007C4A1E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7" w:lineRule="exact"/>
              <w:ind w:left="177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3544AD">
        <w:trPr>
          <w:trHeight w:hRule="exact" w:val="38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4.5.1.2. Частка здобувачів освіти та педагогічних працівників, які поінформовані щодо дотримання академічної доброчесності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BF3A21">
        <w:trPr>
          <w:trHeight w:hRule="exact" w:val="374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40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1"/>
                <w:rFonts w:ascii="Times New Roman" w:hAnsi="Times New Roman" w:cs="Times New Roman"/>
                <w:sz w:val="16"/>
                <w:szCs w:val="16"/>
              </w:rPr>
              <w:t>Критерій 4.5.2. Керівництво закладу освіти сприяє формуванню в учасників освітнього процесу негативного ставлення до корупції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EEB" w:rsidRPr="003F2662" w:rsidTr="003544AD">
        <w:trPr>
          <w:trHeight w:hRule="exact" w:val="384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EEB" w:rsidRPr="003F2662" w:rsidRDefault="00D93EEB" w:rsidP="00BF3A21">
            <w:pPr>
              <w:pStyle w:val="1"/>
              <w:framePr w:w="15581" w:wrap="notBeside" w:vAnchor="text" w:hAnchor="page" w:x="615" w:y="164"/>
              <w:shd w:val="clear" w:color="auto" w:fill="auto"/>
              <w:tabs>
                <w:tab w:val="left" w:pos="993"/>
              </w:tabs>
              <w:spacing w:line="182" w:lineRule="exact"/>
              <w:ind w:left="177"/>
              <w:jc w:val="both"/>
              <w:rPr>
                <w:sz w:val="16"/>
                <w:szCs w:val="16"/>
              </w:rPr>
            </w:pPr>
            <w:r w:rsidRPr="003F2662">
              <w:rPr>
                <w:rStyle w:val="Arial7pt2"/>
                <w:rFonts w:ascii="Times New Roman" w:hAnsi="Times New Roman" w:cs="Times New Roman"/>
                <w:sz w:val="16"/>
                <w:szCs w:val="16"/>
              </w:rPr>
              <w:t>Індикатор 4.5.2.1. Керівництво закладу освіти забезпечує проведення освітніх та інформаційних заходів, спрямованих на формування в учасників освітнього процесу негативного ставлення до корупції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EEB" w:rsidRPr="003F2662" w:rsidRDefault="00D93EEB" w:rsidP="00BF3A21">
            <w:pPr>
              <w:framePr w:w="15581" w:wrap="notBeside" w:vAnchor="text" w:hAnchor="page" w:x="615" w:y="164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28CF" w:rsidRPr="00D93EEB" w:rsidRDefault="00C028CF" w:rsidP="00362215">
      <w:pPr>
        <w:tabs>
          <w:tab w:val="left" w:pos="993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028CF" w:rsidRPr="00D93EEB" w:rsidSect="00FA2646">
      <w:type w:val="continuous"/>
      <w:pgSz w:w="16838" w:h="11909" w:orient="landscape"/>
      <w:pgMar w:top="426" w:right="624" w:bottom="1004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DE" w:rsidRDefault="001168DE">
      <w:r>
        <w:separator/>
      </w:r>
    </w:p>
  </w:endnote>
  <w:endnote w:type="continuationSeparator" w:id="0">
    <w:p w:rsidR="001168DE" w:rsidRDefault="0011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DE" w:rsidRDefault="001168DE"/>
  </w:footnote>
  <w:footnote w:type="continuationSeparator" w:id="0">
    <w:p w:rsidR="001168DE" w:rsidRDefault="001168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28CF"/>
    <w:rsid w:val="00045001"/>
    <w:rsid w:val="00110707"/>
    <w:rsid w:val="001168DE"/>
    <w:rsid w:val="001678EC"/>
    <w:rsid w:val="003544AD"/>
    <w:rsid w:val="00362215"/>
    <w:rsid w:val="003F2662"/>
    <w:rsid w:val="00551CBA"/>
    <w:rsid w:val="0055630F"/>
    <w:rsid w:val="00765073"/>
    <w:rsid w:val="007C4A1E"/>
    <w:rsid w:val="007D6B18"/>
    <w:rsid w:val="007F1B62"/>
    <w:rsid w:val="008A674F"/>
    <w:rsid w:val="008D016E"/>
    <w:rsid w:val="00AD47EA"/>
    <w:rsid w:val="00AF43AB"/>
    <w:rsid w:val="00BF3A21"/>
    <w:rsid w:val="00C028CF"/>
    <w:rsid w:val="00D93EEB"/>
    <w:rsid w:val="00F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EEC0"/>
  <w15:docId w15:val="{654F2341-3C4A-45D2-AC59-B183C2B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7pt">
    <w:name w:val="Основний текст + Arial;7 pt;Напівжирни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55pt">
    <w:name w:val="Основний текст + Arial;5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Calibri105pt">
    <w:name w:val="Основний текст + Calibri;10;5 pt;Напівжирни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rial7pt0">
    <w:name w:val="Основний текст + Arial;7 pt;Напівжирни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7pt1">
    <w:name w:val="Основний текст + Arial;7 pt;Напівжирни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7pt2">
    <w:name w:val="Основний текст + Arial;7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4858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BOSS</cp:lastModifiedBy>
  <cp:revision>4</cp:revision>
  <dcterms:created xsi:type="dcterms:W3CDTF">2022-07-15T12:30:00Z</dcterms:created>
  <dcterms:modified xsi:type="dcterms:W3CDTF">2022-07-15T12:37:00Z</dcterms:modified>
</cp:coreProperties>
</file>